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jc w:val="left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b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168990" cy="1286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8598278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0" flipH="0" flipV="0">
                          <a:off x="0" y="0"/>
                          <a:ext cx="3168990" cy="12865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49.5pt;height:101.3pt;mso-wrap-distance-left:0.0pt;mso-wrap-distance-top:0.0pt;mso-wrap-distance-right:0.0pt;mso-wrap-distance-bottom:0.0pt;rotation:0;" stroked="false">
                <v:path textboxrect="0,0,0,0"/>
                <v:imagedata r:id="rId9" o:title=""/>
              </v:shape>
            </w:pict>
          </mc:Fallback>
        </mc:AlternateContent>
      </w:r>
      <w:r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contextualSpacing/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contextualSpacing/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contextualSpacing/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625"/>
        <w:numPr>
          <w:ilvl w:val="0"/>
          <w:numId w:val="9"/>
        </w:numPr>
        <w:ind w:left="0" w:firstLine="0"/>
        <w:jc w:val="both"/>
        <w:tabs>
          <w:tab w:val="left" w:pos="567" w:leader="none"/>
        </w:tabs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Определить общую жесткость воды по предложенной методике</w:t>
      </w:r>
      <w:r/>
    </w:p>
    <w:p>
      <w:pPr>
        <w:pStyle w:val="625"/>
        <w:numPr>
          <w:ilvl w:val="0"/>
          <w:numId w:val="9"/>
        </w:numPr>
        <w:ind w:left="0" w:firstLine="0"/>
        <w:jc w:val="both"/>
        <w:tabs>
          <w:tab w:val="left" w:pos="567" w:leader="none"/>
        </w:tabs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Приготовить:</w:t>
      </w:r>
      <w:r/>
    </w:p>
    <w:p>
      <w:pPr>
        <w:pStyle w:val="625"/>
        <w:numPr>
          <w:ilvl w:val="0"/>
          <w:numId w:val="3"/>
        </w:numPr>
        <w:ind w:left="0" w:firstLine="0"/>
        <w:jc w:val="both"/>
        <w:tabs>
          <w:tab w:val="left" w:pos="284" w:leader="none"/>
        </w:tabs>
        <w:rPr>
          <w:rFonts w:ascii="Times New Roman" w:hAnsi="Times New Roman" w:eastAsia="Calibri" w:cs="Times New Roman"/>
          <w:sz w:val="28"/>
        </w:rPr>
      </w:pPr>
      <w:r>
        <w:rPr>
          <w:rFonts w:ascii="Times New Roman" w:hAnsi="Times New Roman" w:eastAsia="Calibri" w:cs="Times New Roman"/>
          <w:sz w:val="28"/>
        </w:rPr>
        <w:t xml:space="preserve">Раствор Трилона Б, объё</w:t>
      </w:r>
      <w:r>
        <w:rPr>
          <w:rFonts w:ascii="Times New Roman" w:hAnsi="Times New Roman" w:eastAsia="Calibri" w:cs="Times New Roman"/>
          <w:sz w:val="28"/>
        </w:rPr>
        <w:t xml:space="preserve">м 0,25 дм</w:t>
      </w:r>
      <w:r>
        <w:rPr>
          <w:rFonts w:ascii="Times New Roman" w:hAnsi="Times New Roman" w:eastAsia="Calibri" w:cs="Times New Roman"/>
          <w:sz w:val="28"/>
          <w:vertAlign w:val="superscript"/>
        </w:rPr>
        <w:t xml:space="preserve">3</w:t>
      </w:r>
      <w:r/>
    </w:p>
    <w:p>
      <w:pPr>
        <w:pStyle w:val="625"/>
        <w:numPr>
          <w:ilvl w:val="0"/>
          <w:numId w:val="3"/>
        </w:numPr>
        <w:ind w:left="0" w:firstLine="0"/>
        <w:jc w:val="both"/>
        <w:tabs>
          <w:tab w:val="left" w:pos="284" w:leader="none"/>
        </w:tabs>
        <w:rPr>
          <w:rFonts w:ascii="Times New Roman" w:hAnsi="Times New Roman" w:eastAsia="Calibri" w:cs="Times New Roman"/>
          <w:sz w:val="28"/>
        </w:rPr>
      </w:pPr>
      <w:r>
        <w:rPr>
          <w:rFonts w:ascii="Times New Roman" w:hAnsi="Times New Roman" w:eastAsia="Calibri" w:cs="Times New Roman"/>
          <w:sz w:val="28"/>
        </w:rPr>
        <w:t xml:space="preserve">Буферный раствор, объё</w:t>
      </w:r>
      <w:r>
        <w:rPr>
          <w:rFonts w:ascii="Times New Roman" w:hAnsi="Times New Roman" w:eastAsia="Calibri" w:cs="Times New Roman"/>
          <w:sz w:val="28"/>
        </w:rPr>
        <w:t xml:space="preserve">м 0,1 дм</w:t>
      </w:r>
      <w:r>
        <w:rPr>
          <w:rFonts w:ascii="Times New Roman" w:hAnsi="Times New Roman" w:eastAsia="Calibri" w:cs="Times New Roman"/>
          <w:sz w:val="28"/>
          <w:vertAlign w:val="superscript"/>
        </w:rPr>
        <w:t xml:space="preserve">3</w:t>
      </w:r>
      <w:r/>
    </w:p>
    <w:p>
      <w:pPr>
        <w:pStyle w:val="625"/>
        <w:numPr>
          <w:ilvl w:val="0"/>
          <w:numId w:val="3"/>
        </w:numPr>
        <w:ind w:left="0" w:firstLine="0"/>
        <w:jc w:val="both"/>
        <w:tabs>
          <w:tab w:val="left" w:pos="284" w:leader="none"/>
        </w:tabs>
        <w:rPr>
          <w:rFonts w:ascii="Times New Roman" w:hAnsi="Times New Roman" w:eastAsia="Calibri" w:cs="Times New Roman"/>
          <w:sz w:val="28"/>
        </w:rPr>
      </w:pPr>
      <w:r>
        <w:rPr>
          <w:rFonts w:ascii="Times New Roman" w:hAnsi="Times New Roman" w:eastAsia="Calibri" w:cs="Times New Roman"/>
          <w:sz w:val="28"/>
        </w:rPr>
        <w:t xml:space="preserve">Раствор сульфата магния из фиксанала</w:t>
      </w:r>
      <w:r/>
    </w:p>
    <w:p>
      <w:pPr>
        <w:pStyle w:val="625"/>
        <w:numPr>
          <w:ilvl w:val="0"/>
          <w:numId w:val="9"/>
        </w:numPr>
        <w:ind w:left="0" w:firstLine="0"/>
        <w:jc w:val="both"/>
        <w:tabs>
          <w:tab w:val="left" w:pos="567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8"/>
        </w:rPr>
        <w:t xml:space="preserve">Раствора сульфата магния, объем 0,1 дм</w:t>
      </w:r>
      <w:r>
        <w:rPr>
          <w:rFonts w:ascii="Times New Roman" w:hAnsi="Times New Roman" w:eastAsia="Calibri" w:cs="Times New Roman"/>
          <w:sz w:val="28"/>
          <w:vertAlign w:val="superscript"/>
        </w:rPr>
        <w:t xml:space="preserve">3</w:t>
      </w:r>
      <w:r>
        <w:rPr>
          <w:rFonts w:ascii="Times New Roman" w:hAnsi="Times New Roman" w:eastAsia="Calibri" w:cs="Times New Roman"/>
          <w:sz w:val="28"/>
        </w:rPr>
        <w:t xml:space="preserve">, концентрация 25 ммоль/дм</w:t>
      </w:r>
      <w:r>
        <w:rPr>
          <w:rFonts w:ascii="Times New Roman" w:hAnsi="Times New Roman" w:eastAsia="Calibri" w:cs="Times New Roman"/>
          <w:sz w:val="28"/>
          <w:vertAlign w:val="superscript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Введен в действие приказом Федерального агентства по техническому регулированию и метрологии от 12 декабря 2012 г. N 1899-ст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Межгосударственный стандарт ГОСТ 31954-2012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br/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"ВОДА ПИТЬЕВАЯ. МЕТОДЫ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ОПРЕДЕЛЕНИЯ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ЖЕСТКОСТИ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"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br/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Drinking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water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Methods of hardness determination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  <w:r/>
    </w:p>
    <w:p>
      <w:pPr>
        <w:ind w:firstLine="698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введения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- 1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января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2014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Введен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впервые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/>
      <w:bookmarkStart w:id="0" w:name="sub_1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Введение</w:t>
      </w:r>
      <w:bookmarkEnd w:id="0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Жесткость воды является одним из основных показателей, характеризующим применение воды в различных отраслях.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Жесткостью воды называется совокупность свойств, обусловленных содержанием в ней щелочноземельных элементов, преимущественно ионов кальция и магния.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зависимости от рН и щелочности воды жесткость выше 10°Ж может вызывать образование шлаков в распреде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лительной системе водоснабжения и накипи при нагревании. Вода жесткостью менее 5°Ж может оказывать коррозионное воздействие на водопроводные трубы. Жесткость воды может влиять и на применяемость для потребления человеком с точки зрения ее вкусовых свойств.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комплексонометрическом (титриметрическом) определении жесткости ионы алюминия, кадмия, свинца, железа, кобальта, меди, марганца, олова и цинка влияют на установление эквивалентной точки и мешают определению. Ионы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ортофосфата и карбоната могут осаждать кальций в условиях титрования. Определению могут также мешать некоторые органические вещества. Если мешающее влияние невозможно устранить, определение жесткости рекомендуется проводить методами атомной спектрометрии.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Настоящий стандарт предусматривает использование различных методов определения жесткости воды с учетом приведения количественной характеристики жесткости воды (единицы жесткости) через градусы жесткости (°Ж)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31865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/>
      <w:bookmarkStart w:id="1" w:name="sub_10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br w:type="page" w:clear="all"/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1 Область применения</w:t>
      </w:r>
      <w:bookmarkEnd w:id="1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тоящий стандарт распространяется на природные (поверхностные и подземные) воды, в том числе воды источников питьевого водоснабжения, а также на питьевую воду, в том числе расфасованную в емкости, и устанавливает следующие методы определения жесткости воды: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комплексонометрический метод (метод А);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методы атомной спектрометрии (методы Б и В).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Метод Б применяют для определения массовой концентрации ионов кальция и магния.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Метод В является арбитражным по отношению к другим методам определения жесткости.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/>
      <w:bookmarkStart w:id="2" w:name="sub_20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br w:type="page" w:clear="all"/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2 Нормативные ссылки</w:t>
      </w:r>
      <w:bookmarkEnd w:id="2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настоящем стандарте использованы нормативные ссылки на следующие межгосударственные стандарты: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17.1.5.05-85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Охрана природы. Гидросфера. Общие требования к отбору проб поверхностных и морских вод, льда и атмосферных осадков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1770-74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(ISO 1042-83, ISO 4788-80) Посуда мерная лабораторная стеклянная. Цилиндры, мензурки, колбы, пробирки. Технические условия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2053-77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Реактивы. Натрий сернистый 9-водный. Технические условия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3118-77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Реактивы. Кислота соляная. Технические условия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3760-79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Реактивы. Аммиак водный. Технические условия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3773-72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Реактивы. Аммоний хлористый. Технические условия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4233-77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Реактивы. Натрий хлористый. Технические условия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4328-77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Реактивы. Натрия гидроокись. Технические условия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4461-77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Реактивы. Кислота азотная. Технические условия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5456-79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Реактивы. Гидроксиламина гидрохлорид. Технические условия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5457-75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Ацетилен растворенный и газообразный технический. Технические условия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6709-72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Вода дистиллированная. Технические условия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10652-73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Реактивы. Соль динатриевая этилендиамин-N,N,N`,N`-тетрауксусной кислоты 2-водная (трилон Б). Технические условия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ИСО/МЭК 17025-2009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Общие требования к компетентности испытательных и калибровочных лабораторий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ГОСТ 17433-80 Промышленная чистота. Сжатый воздух. Классы загрязненности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18300-87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Спирт этиловый ректификованный технический. Технические условия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23950-88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Вода питьевая. Метод определения массовой концентрации стронция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25336-82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Посуда и оборудование лабораторные стеклянные. Типы, основные параметры и размеры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29169-91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(ИСО 648-77) Посуда лабораторная стеклянная. Пипетки с одной отметкой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29227-91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(ИСО 835-1-81) Посуда лабораторная стеклянная. Пипетки градуированные. Часть 1. Общие требования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29251-91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(ИСО 385-1-84) Посуда лабораторная стеклянная. Бюретки. Часть 1. Общие требования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31861-2012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Вода. Общие требования к отбору проб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31862-2012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Вода питьевая. Отбор проб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31865-2012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Вода. Единица жесткости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31870-2012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Вода питьевая. Определение содержания элементов методами атомной спектрометрии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Примечание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официальном сайте Федерального агентства по техническому регулированию и метрологии в сети Интернет или по ежего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дно издаваемому информационному указателю "Национальные стандарты", который опубликован по состоянию на 1 января текущего года, и по соответствующим ежемесячно издаваемым информационным указателям, опубликованным в текущем году. Если ссылочный стандарт зам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/>
      <w:bookmarkStart w:id="3" w:name="sub_30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 Отбор проб</w:t>
      </w:r>
      <w:bookmarkEnd w:id="3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Общие требования к отбору проб -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31861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31862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17.1.5.05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Пробу отбирают объемом не менее 400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для анализа по методу А и не менее 200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для анализа по методам Б и В в емкость, изготовленную из полимерных материалов или стекла.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Срок хранения пробы воды - не более 24 ч.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увеличения срока хранения пробы и для предотвращения осаждения из воды карбонатов кальция (что характерно для подземных или бутилированных вод) пробу подкисляют кислотой до рН &lt; 2. При определении жесткости по методу А подкисление провод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ят соляной кислотой, по методу Б - соляной или азотной кислотой, при использовании метода В - азотной кислотой. Контроль рН проводят по универсальной индикаторной бумаге или с использованием рН-метра. Срок хранения подкисленной пробы воды - не более 1 мес.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воды, расфасованной в емкости, сроки и температурные условия хранения должны соответствовать требованиям, указанным в нормативной документации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*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 готовую продукцию.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/>
      <w:bookmarkStart w:id="4" w:name="sub_40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br w:type="page" w:clear="all"/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 Комплексонометрический метод (метод А)</w:t>
      </w:r>
      <w:bookmarkEnd w:id="4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/>
      <w:bookmarkStart w:id="5" w:name="sub_401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4.1 Сущность метода</w:t>
      </w:r>
      <w:bookmarkEnd w:id="5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Метод основан на образовании комплексных соединений трилона Б с ионами щелочноземельных элементов. Определение проводят титрованием пробы раствором трилона Б при рН = 10 в присутствии индикатора. Наименьшая определяемая жесткость воды - 0,1°Ж.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исследуемая проба была подкислена для консервации или проба имеет кислую среду, то в аликвоту пробы добавляют раствор гидроксида натрия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до рН = 6 - 7. Если проба воды имеет сильнощелочную среду, то в аликвоту пробы добавляют раствор соляной кислоты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до рН = 6 - 7. Контроль рН проводят по универсальной индикаторной бумаге или с использованием рН-метра. Для удаления из воды карбонат и бикарбонат ионов (что характерно для подземных или бутылированных вод) после добавления к аликвоте пробы раствора сол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яной кислоты до рН = 6 - 7 проводят ее кипячение или продувание воздухом или любым инертным газом в течение не менее пяти минут для удаления углекислого газа. Критерием наличия в воде значительного количества карбонатов может служить щелочная реакция воды.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Присутствие в воде более 10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мг/дм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ионов железа; более 0,05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мг/дм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каждого из ионов меди, кадмия, кобальта, свинца; свыше 0,1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мг/дм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каждого из ионов марганца (II), алюминия, цинка, кобальта, никеля, олова, а также цветн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ость более 200°Ж и повышенная мутность вызывают при титровании нечеткое изменение окраски в точке эквивалентности и приводят к завышению результатов определения жесткости. Ортофосфат-и карбонат-ионы могут осаждать кальций в условиях титрования при рН = 10.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уменьшения влияния содержащихся в воде цинка до 200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мг/дм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алюминия, кадмия, свинца до 20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мг/дм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железа до 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мг/дм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марганца, кобальта, меди, никеля до 1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мг/дм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аликвоте пробы до введения индикатора добавляют 2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раствора сульфида натрия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); для уменьшения влияния марганца до 1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мг/дм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железа, алюминия до 20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мг/дм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меди до 0,3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мг/дм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добавляют от 5 до 10 капель раствора гидроксиламина гидрохлорида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). Мутность (взвешенные вещества) пробы устраняют фильтрованием через мембранные фильтры с диаметром пор 0,45 мкм или бумажные обеззоленные фильтры "синяя лента". Влияние цветности и других факторов устраняют разбавлением пробы в ходе анализа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если это позволяет определяемое значение жесткости воды.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Примечание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Фильтрование пробы может привести к занижению результатов определения жесткости воды, особенно воды с щелочной реакцией.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мешающие влияния устранить невозможно, то определение жесткости проводят методами атомной спектрометрии.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/>
      <w:bookmarkStart w:id="6" w:name="sub_402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4.2 Средства измерения, вспомогательное оборудование, реактивы, материалы</w:t>
      </w:r>
      <w:bookmarkEnd w:id="6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Государственный (межгосударственный) стандартный образец (ГСО) состава жесткости (общей жесткости) воды с относительной погрешностью аттестованного значения при доверительной вероятности Р = 0,95 не более ±1,5%.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Весы лабораторные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**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 наибольшим пределом взвешивания 220 г, обеспечивающие точность взвешивания с пределом допускаемой абсолютной погрешности не более ±0,75 мг.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рН-метр любого типа.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Колбы мерные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1770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2-го класса точности.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Пипетки градуированные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29227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2-го класса точности или пипетки с одной отметкой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29169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2-го класса точности.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7" w:name="sub_426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Бюретки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29251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2-го класса точности вместимостью 25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(или) 10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или полуавтоматический цифровой титра-тор (цифровая бюретка) вместимостью 30 или 50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 шагом дозирования не более 0,05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bookmarkEnd w:id="7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Мерные цилиндры (мензурки)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1770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Колбы плоскодонные или конические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25336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Капельница 2-50 ХС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25336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Воронки лабораторные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25336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Стаканы химические термостойкие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25336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Устройство для фильтрования проб с использованием мембранных фильтров.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Фильтры мембранные с диаметром пор 0,45 мкм или бумажные обеззоленные "синяя лента".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Шкаф сушильный лабораторный, поддерживающий температуру (80±5)°С.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Бумага универсальная индикаторная для контроля рН.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Вода дистиллированная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6709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(или) бидистиллированная (вода дистиллированная, перегнанная повторно в стеклянных емкостях).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ГСО состава трилона Б 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ассовой долей 2-водной динатриевой соли этилендиамин-N,N,N',N'-тетрауксусной кислоты не менее 99,5 % или стандарт-титр (фиксанал) трилона Б или трилон Б (этилендиамин-N,N,N',N'-тетрауксусной кислоты динатриевая соль 2-водная) по ГОСТ 10652, ч.д.а. или х.ч.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ГСО состава водного раствора ионов магния с относительной погрешностью аттестованного значения при доверительной вероятности Р = 0,95 не более ±1,0% или стандарт-титр (фиксанал) сульфата (сернокислого) магния.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Стандарт-титр (фиксанал) соляной кислоты или азотной кислоты с молярной концентрацией 0,1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моль/дм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Спирт этиловый ректификованный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18300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Индикатор эриохром черный Т (хромогеновый черный ЕТ) или хромовый темно-синий кислотный (кислотный хромовый синий Т).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Аммония хлорид по ГОСТ 3773, ч.д.а.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Аммиак водный по ГОСТ 3760 (25%-ный), х.ч.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Кислота соляная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3118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х.ч., или азотная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4461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х.ч.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Натрия гидроксид по ГОСТ 4328, х.ч.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Натрия хлорид по ГОСТ 4233, х.ч.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Натрия сульфид по ГОСТ 2053, ч.д.а.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Гидроксиламина гидрохлорид по ГОСТ 5456, ч.д.а. или х.ч.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Примечание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Допускается применение других средств измерений, оборудования и реактивов, в том числе импортных, с техническими и метрологическими характеристиками не хуже указанных.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/>
      <w:bookmarkStart w:id="8" w:name="sub_403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4.3 Приготовление растворов и индикаторов</w:t>
      </w:r>
      <w:bookmarkEnd w:id="8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sub_43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4.3.1 Раствор трилона Б молярной концентрации 25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ммоль/дм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bookmarkEnd w:id="9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Трилон Б высушивают при 80°С в течение двух часов, отвешивают 9,31 г, помещают в мерную колбу вместимостью 1000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растворяют в теплой от 40°С до 60°С бидистиллированной воде и после охлаждения раствора до комнатной температуры доводят до метки бидистиллированной водой. Установку поправочного коэффициента к концентрации раствора трилона Б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), приготовленного из навески, проводят по раствору сульфата магния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). Раствор из ГСО состава трилона Б или стандарт-титра (фиксанала) трилона Б готовят в соответствии с инструкцией по применению, разбавляя его до требуемой концентрации.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Раствор трилона Б пригоден для использования в течение 6 мес. Рекомендуется не реже одного раза в месяц проверять значение поправочного коэффициента.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0" w:name="sub_43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4.3.2 Раствор ионов магния молярной концентрации 25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ммоль/дм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bookmarkEnd w:id="10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Раствор готовят из ГСО состава водного раствора ионов магния или стандарт-титра (фиксанала) сульфата (сернокислого) магния в соответствии с инструкцией по его применению, при необходимости разбавляя до требуемой концентрации.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Примечание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Если в используемых стандарт-титрах (фиксаналах) или ГСО состава водных растворов концентрация вещества выражена в нормальностях (н),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мг/дм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г/м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т.п., необходимо провести пересчет концентрации вещества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моль/дм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1" w:name="sub_433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4.3.3 Буферный раствор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pH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=(10±0,1)</w:t>
      </w:r>
      <w:bookmarkEnd w:id="11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приготовления 500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буферного раствора в мерную колбу вместимостью 500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помещают 10 г хлорида аммония, добавляют 100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бидистиллированной воды для его растворения и 50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25%-ного водного аммиака, тщательно перемешивают и доводят до метки бидистиллированной водой.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Буферный раствор пригоден для использования в течение 2 мес. при его хранении в плотно 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акрытой емкости, изготовленной из полимерного материала. Рекомендуется периодически перед применением буферного раствора проверять его рН с использованием рН-метра. Если значение рН изменилось более чем на 0,2 единицы рН, то готовят новый буферный раствор.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2" w:name="sub_434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4.3.4 Индикаторы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3" w:name="sub_4341"/>
      <w:r/>
      <w:bookmarkEnd w:id="1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4.3.4.1 Раствор индикатора</w:t>
      </w:r>
      <w:bookmarkEnd w:id="13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приготовления 100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раствора индикатора в стакан вместимостью не менее 100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помещают 0,5 г индикатора эриохром черный Т, добавляют 20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буферного раствора, тщательно перемешивают и добавляют 80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этилового спирта. Раствор пригоден для использования в течение 10 сут при хранении в темной стеклянной емкости.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Допускается вместо индикатора эриохром черный Т использовать индикатор хромовый темно-синий кислотный, раствор которого готовят аналогичным способом. Срок хранения этого раствора - не более 3 мес.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4" w:name="sub_434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4.3.4.2 Сухая смесь индикатора</w:t>
      </w:r>
      <w:bookmarkEnd w:id="14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Сухую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смесь индикатора готовят в следующей последовательности: 0,25 г эриохрома черного Т смешивают с 50 г хлорида натрия в фарфоровой ступке и тщательно растирают. Смесь пригодна для использования в течение одного года при хранении в темной стеклянной емкости.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5" w:name="sub_435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4.3.5 Раствор гидроксиламина гидрохлорида</w:t>
      </w:r>
      <w:bookmarkEnd w:id="15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приготовления 100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раствора 1 г гидроксиламина гидрохлорида (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NH</w:t>
      </w:r>
      <w:r>
        <w:rPr>
          <w:rFonts w:ascii="Times New Roman" w:hAnsi="Times New Roman" w:eastAsia="Times New Roman" w:cs="Times New Roman"/>
          <w:sz w:val="24"/>
          <w:szCs w:val="24"/>
          <w:vertAlign w:val="subscript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OH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·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HCl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растворяют в 100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бидистиллированной воды. Раствор пригоден для использования в течение 2 мес.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6" w:name="sub_436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4.3.6 Раствор сульфида натрия</w:t>
      </w:r>
      <w:bookmarkEnd w:id="16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приготовления 100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раствора 5 г сульфида натрия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Na</w:t>
      </w:r>
      <w:r>
        <w:rPr>
          <w:rFonts w:ascii="Times New Roman" w:hAnsi="Times New Roman" w:eastAsia="Times New Roman" w:cs="Times New Roman"/>
          <w:sz w:val="24"/>
          <w:szCs w:val="24"/>
          <w:vertAlign w:val="subscript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S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·9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H</w:t>
      </w:r>
      <w:r>
        <w:rPr>
          <w:rFonts w:ascii="Times New Roman" w:hAnsi="Times New Roman" w:eastAsia="Times New Roman" w:cs="Times New Roman"/>
          <w:sz w:val="24"/>
          <w:szCs w:val="24"/>
          <w:vertAlign w:val="subscript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O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или 3,5 г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Na</w:t>
      </w:r>
      <w:r>
        <w:rPr>
          <w:rFonts w:ascii="Times New Roman" w:hAnsi="Times New Roman" w:eastAsia="Times New Roman" w:cs="Times New Roman"/>
          <w:sz w:val="24"/>
          <w:szCs w:val="24"/>
          <w:vertAlign w:val="subscript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S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·5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H</w:t>
      </w:r>
      <w:r>
        <w:rPr>
          <w:rFonts w:ascii="Times New Roman" w:hAnsi="Times New Roman" w:eastAsia="Times New Roman" w:cs="Times New Roman"/>
          <w:sz w:val="24"/>
          <w:szCs w:val="24"/>
          <w:vertAlign w:val="subscript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O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растворяют в 100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бидистиллированной воды. Раствор готовят в день проведения определений.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7" w:name="sub_437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4.3.7 Раствор соляной кислоты молярной концентрации 0,1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моль/дм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bookmarkEnd w:id="17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мерную колбу вместимостью 1000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наполовину заполненную бидистиллированной водой, наливают 8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соляной кислоты и доводят до метки бидистиллированной водой. Срок хранения раствора - не более 6 мес.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Приготовление раствора кислоты из стандарт-титра (фиксанала) проводят в соответствии с инструкцией по его приготовлению.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8" w:name="sub_438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4.3.8 Раствор гидроксида натрия молярной концентрации 0,2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моль/дм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bookmarkEnd w:id="18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приготовления 1000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раствора в стакан помещают 8 г гидроксида натрия, растворяют в бидистиллированной воде, после остывания раствор переносят в мерную колбу вместимостью 1000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доводят до метки бидистиллированной водой. Срок хранения раствора в емкости из полимерного материала - не более 6 мес.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/>
      <w:bookmarkStart w:id="19" w:name="sub_404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4.4 Установление коэффициента поправки к концентрации раствора трилона Б</w:t>
      </w:r>
      <w:bookmarkEnd w:id="19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коническую колбу вместимостью 250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вносят 10,0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раствора ионов магния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), добавляют 90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бидистиллированной воды, 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буферного раствора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), от 5 до 7 капель раствора индикатора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4.3.4.1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или от 0,05 до 0,1 г сухой смеси индикатора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4.3.4.2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и сразу титруют раствором трилона Б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до изменения окраски в эквивалентной точке от винно-красной (красно-фиолетовой) до синей (с зеленоватым оттенком) при использовании индикатора эриохром черный Т, а при использовании индикатора хромовый темно-синий кислотный до синей (сине-фиолетовой).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Раствор трилона Б в начале титрования добавляют довольно бы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стро при постоянном перемешивании. Затем, когда цвет раствора начинает меняться, раствор трилона Б добавляют медленно. Эквивалентной точки достигают при изменении окрашивания, когда цвет раствора перестает меняться при добавлении капель раствора трилона Б.</w:t>
      </w:r>
      <w:r/>
    </w:p>
    <w:p>
      <w:pPr>
        <w:ind w:firstLine="567"/>
        <w:jc w:val="both"/>
        <w:spacing w:before="120" w:after="0" w:line="276" w:lineRule="auto"/>
        <w:widowControl w:val="off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Титрование проводят на фоне титрованной контрольной пробы. В качестве контрольной пробы можно использовать немного перетитрованную анализируемую пробу.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Из вычисленных значений коэффициентов, расхождение между которыми не превышает 0,001 берут среднеарифметическое.</w:t>
      </w:r>
      <w:r/>
    </w:p>
    <w:p>
      <w:pPr>
        <w:ind w:firstLine="567"/>
        <w:jc w:val="both"/>
        <w:spacing w:after="0" w:line="276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Если один из коэффициентов не входит в допустимое расхождение, допускается вести расчет по двум коэффициентам.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Значение коэффициента поправки должно быть равным 1,00±0,03.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Коэффициент поправки К к концентрации раствора трилона Б рассчитывают по формуле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698"/>
        <w:jc w:val="right"/>
        <w:spacing w:after="0" w:line="240" w:lineRule="auto"/>
        <w:widowControl w:val="off"/>
        <w:tabs>
          <w:tab w:val="left" w:pos="552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0" w:name="sub_404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52450" cy="425450"/>
                <wp:effectExtent l="0" t="0" r="0" b="0"/>
                <wp:docPr id="2" name="Рисунок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6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5245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3.5pt;height:33.5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(1)</w:t>
      </w:r>
      <w:bookmarkEnd w:id="20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где V - объем раствора трилона Б, израсходованный на титрование,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10 - объем раствора ионов магния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Примечание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При приготовлении растворов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4.3-4.4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допускается вместо бидистиллированной воды использовать дистиллированную воду, если определяемое значение жесткости более 1°Ж.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/>
      <w:bookmarkStart w:id="21" w:name="sub_405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4.5 Порядок проведения определений</w:t>
      </w:r>
      <w:bookmarkEnd w:id="21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2" w:name="sub_45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4.5.1 Выполняют два определения, для чего пробу анализируемой воды делят на две части.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3" w:name="sub_452"/>
      <w:r/>
      <w:bookmarkEnd w:id="2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4.5.2 В колбу вместимостью 250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помещают первую часть аликвоты пробы анализируемой воды объемом 100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буферного раствора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), от 5 до 7 капель раствора индикатора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4.3.4.1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или от 0,05 до 0,1 г сухой смеси индикатора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4.3.4.2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и титруют раствором трилона Б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), как описано в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4" w:name="sub_453"/>
      <w:r/>
      <w:bookmarkEnd w:id="23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4.5.3 Вторую часть аликвоты пробы объемом 100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помещают в колбу вместимостью 250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добавляют 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буферного раствора, от 5 до 7 капель раствора индикатора или от 0,05 до 0,1 г сухой смеси индикатора, добавляют раствор трилона Б, которого берут на 0,5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меньше, чем пошло на первое титрование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4.5.2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), быстро и тщательно перемешивают и титруют (дотитровывают), как описано в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bookmarkEnd w:id="24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Примечания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 Нечеткое изменение окраски индикатора в эквивалентной точке или изменение окраски на серый цвет указывает на присутствие мешающих веществ. Устранение мешающих влияний -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Если мешающие влияния устранить невозможно, определение жесткости проводят методами атомной спектрометрии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раздел 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 Если расход раствора трилона Б превышает 20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при использовании бюретки вместимостью 25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или 9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при использовании бюретки вместимостью 10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то объем анализируемой пробы уменьшают, добавляя в нее бидистиллированную воду до объема 100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Аликвоту пробы уменьшают и для устранения влияния цветности воды.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 Если расход раствора трилона Б менее 1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при использовании бюретки вместимостью 25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или менее 0,5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при использовании бюретки вместимостью 10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то рекомендуется использовать раствор трилона Б молярной концентрацией 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ммоль/дм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или 2,5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ммоль/дм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соответственно. Раствор трилона Б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разбавляют в 5 или 10 раз.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/>
      <w:bookmarkStart w:id="25" w:name="sub_406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4.6 Обработка результатов определения</w:t>
      </w:r>
      <w:bookmarkEnd w:id="25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6" w:name="sub_46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4.6.1 Жесткость воды Ж, °Ж, рассчитывают по формуле</w:t>
      </w:r>
      <w:bookmarkEnd w:id="26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698"/>
        <w:jc w:val="right"/>
        <w:spacing w:after="0" w:line="240" w:lineRule="auto"/>
        <w:widowControl w:val="off"/>
        <w:tabs>
          <w:tab w:val="left" w:pos="609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7" w:name="sub_461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257300" cy="501650"/>
                <wp:effectExtent l="0" t="0" r="0" b="0"/>
                <wp:docPr id="3" name="Рисунок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77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257300" cy="50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99.0pt;height:39.5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(2)</w:t>
      </w:r>
      <w:bookmarkEnd w:id="27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где М - коэффициент пересчета, равный 2С</w:t>
      </w:r>
      <w:r>
        <w:rPr>
          <w:rFonts w:ascii="Times New Roman" w:hAnsi="Times New Roman" w:eastAsia="Times New Roman" w:cs="Times New Roman"/>
          <w:sz w:val="24"/>
          <w:szCs w:val="24"/>
          <w:vertAlign w:val="subscript"/>
          <w:lang w:eastAsia="ru-RU"/>
        </w:rPr>
        <w:t xml:space="preserve">ТР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где С</w:t>
      </w:r>
      <w:r>
        <w:rPr>
          <w:rFonts w:ascii="Times New Roman" w:hAnsi="Times New Roman" w:eastAsia="Times New Roman" w:cs="Times New Roman"/>
          <w:sz w:val="24"/>
          <w:szCs w:val="24"/>
          <w:vertAlign w:val="subscript"/>
          <w:lang w:eastAsia="ru-RU"/>
        </w:rPr>
        <w:t xml:space="preserve">ТР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концентрация раствора трилона Б,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моль/м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ммоль/дм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), (как правило М-50);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F - множитель разбавления исходной пробы воды при консервировании (как правило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F = 1);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K - коэффициент поправки к концентрации раствора трилона Б, рассчитанный по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формуле (1)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V</w:t>
      </w:r>
      <w:r>
        <w:rPr>
          <w:rFonts w:ascii="Times New Roman" w:hAnsi="Times New Roman" w:eastAsia="Times New Roman" w:cs="Times New Roman"/>
          <w:sz w:val="24"/>
          <w:szCs w:val="24"/>
          <w:vertAlign w:val="subscript"/>
          <w:lang w:eastAsia="ru-RU"/>
        </w:rPr>
        <w:t xml:space="preserve">ТР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объем раствора трилона Б, израсходованный на титрование,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V</w:t>
      </w:r>
      <w:r>
        <w:rPr>
          <w:rFonts w:ascii="Times New Roman" w:hAnsi="Times New Roman" w:eastAsia="Times New Roman" w:cs="Times New Roman"/>
          <w:sz w:val="24"/>
          <w:szCs w:val="24"/>
          <w:vertAlign w:val="subscript"/>
          <w:lang w:eastAsia="ru-RU"/>
        </w:rPr>
        <w:t xml:space="preserve">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объем пробы воды, взятой для анализа,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8" w:name="sub_46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4.6.2 За результат измерения принимают среднеарифметическое значение результатов двух определений. Приемлемость результатов определений оценивают исходя из условия:</w:t>
      </w:r>
      <w:bookmarkEnd w:id="28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698"/>
        <w:jc w:val="right"/>
        <w:spacing w:after="0" w:line="240" w:lineRule="auto"/>
        <w:widowControl w:val="off"/>
        <w:tabs>
          <w:tab w:val="left" w:pos="552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9" w:name="sub_462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|Ж</w:t>
      </w:r>
      <w:r>
        <w:rPr>
          <w:rFonts w:ascii="Times New Roman" w:hAnsi="Times New Roman" w:eastAsia="Times New Roman" w:cs="Times New Roman"/>
          <w:sz w:val="24"/>
          <w:szCs w:val="24"/>
          <w:vertAlign w:val="subscript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-Ж</w:t>
      </w:r>
      <w:r>
        <w:rPr>
          <w:rFonts w:ascii="Times New Roman" w:hAnsi="Times New Roman" w:eastAsia="Times New Roman" w:cs="Times New Roman"/>
          <w:sz w:val="24"/>
          <w:szCs w:val="24"/>
          <w:vertAlign w:val="subscript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|≤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r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(3)</w:t>
      </w:r>
      <w:bookmarkEnd w:id="29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где r - предел повторяемости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таблицу 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);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4"/>
          <w:szCs w:val="24"/>
          <w:vertAlign w:val="subscript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4"/>
          <w:szCs w:val="24"/>
          <w:vertAlign w:val="subscript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результаты определений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4.5.2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4.5.3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°Ж.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расхождение между двумя результатами превышает установленное значение, то определение жесткости воды повторяют. Проверку приемлемости в этом случае проводят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[1, раздел 5]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/>
      <w:bookmarkStart w:id="30" w:name="sub_407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4.7 Метрологические характеристики</w:t>
      </w:r>
      <w:bookmarkEnd w:id="30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Метод обеспечивает получение результатов измерений с метрологическими характеристиками, не превышающими значений, приведенных в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таблице 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при доверительной вероятности Р = 0,95.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/>
      <w:bookmarkStart w:id="31" w:name="sub_4071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br w:type="page" w:clear="all"/>
      </w:r>
      <w:r/>
    </w:p>
    <w:p>
      <w:pPr>
        <w:ind w:firstLine="698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Таблица 1</w:t>
      </w:r>
      <w:bookmarkEnd w:id="31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977"/>
        <w:gridCol w:w="1985"/>
        <w:gridCol w:w="2268"/>
      </w:tblGrid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Диапазон измерений жесткости Ж, °Ж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Показатель точности (границы* интервала, в котором погрешность находится с доверительной вероятностью Р = 0,95),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±Δ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, °Ж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Предел повторяемости r, °Ж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Предел воспроизводимости R, °Ж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none" w:color="000000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От 0,1 до 0,4 включ.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0,05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0,05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0,07</w:t>
            </w:r>
            <w:r/>
          </w:p>
        </w:tc>
      </w:tr>
      <w:tr>
        <w:trPr/>
        <w:tc>
          <w:tcPr>
            <w:tcBorders>
              <w:top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Св. 0,4</w:t>
            </w:r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0,15·Ж</w:t>
            </w:r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0,1·Ж</w:t>
            </w:r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0,21·Ж</w:t>
            </w:r>
            <w:r/>
          </w:p>
        </w:tc>
      </w:tr>
      <w:tr>
        <w:trPr/>
        <w:tc>
          <w:tcPr>
            <w:gridSpan w:val="4"/>
            <w:tcBorders>
              <w:top w:val="single" w:color="auto" w:sz="4" w:space="0"/>
              <w:bottom w:val="single" w:color="auto" w:sz="4" w:space="0"/>
            </w:tcBorders>
            <w:tcW w:w="94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/>
            <w:bookmarkStart w:id="32" w:name="sub_111"/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* Установленные численные значения границ интервала для погрешности соответствуют численным значениям расширенной неопределенности </w:t>
            </w:r>
            <w:r>
              <w:rPr>
                <w:rFonts w:ascii="Times New Roman" w:hAnsi="Times New Roman" w:eastAsia="Times New Roman" w:cs="Times New Roman"/>
                <w:szCs w:val="24"/>
                <w:lang w:val="en-US" w:eastAsia="ru-RU"/>
              </w:rPr>
              <w:t xml:space="preserve">U</w:t>
            </w:r>
            <w:r>
              <w:rPr>
                <w:rFonts w:ascii="Times New Roman" w:hAnsi="Times New Roman" w:eastAsia="Times New Roman" w:cs="Times New Roman"/>
                <w:szCs w:val="24"/>
                <w:vertAlign w:val="subscript"/>
                <w:lang w:eastAsia="ru-RU"/>
              </w:rPr>
              <w:t xml:space="preserve">отн</w:t>
            </w:r>
            <w:r>
              <w:rPr>
                <w:rFonts w:ascii="Times New Roman" w:hAnsi="Times New Roman" w:eastAsia="Times New Roman" w:cs="Times New Roman"/>
                <w:szCs w:val="24"/>
                <w:lang w:eastAsia="ru-RU"/>
              </w:rPr>
              <w:t xml:space="preserve"> (в относительных единицах) при коэффициенте охвата k = 2. Оценку неопределенности проводят как указано в [2].</w:t>
            </w:r>
            <w:bookmarkEnd w:id="32"/>
            <w:r/>
            <w:r/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/>
      <w:bookmarkStart w:id="33" w:name="sub_408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4.8 Контроль показателей качества результатов измерений</w:t>
      </w:r>
      <w:bookmarkEnd w:id="33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Контроль показателей качества результатов измерений в лаборатории предусматривает проведение контроля стабильности результатов измерений с учетом требований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[1, раздел 6]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[3]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 применением ГСО или раствора ГСО состава жесткости воды, в наибольшей степени отражающего значение жесткости анализируемых в лаборатории вод.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Примечание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Если в используемых ГСО жесткость выражена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ммоль/дм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моль/м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), необходимо провести пересчет в градусы жесткости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***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/>
      <w:bookmarkStart w:id="34" w:name="sub_409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4.9 Оформление результатов</w:t>
      </w:r>
      <w:bookmarkEnd w:id="34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измерений регистрируют в протоколе (отчете) 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ИСО/МЭК 17025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В протоколе указывают применяемый в лаборатории метод по настоящему стандарту.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 измерений может быть представлен в виде: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698"/>
        <w:jc w:val="right"/>
        <w:spacing w:after="0" w:line="240" w:lineRule="auto"/>
        <w:widowControl w:val="off"/>
        <w:tabs>
          <w:tab w:val="left" w:pos="552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5" w:name="sub_409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(Ж±Δ)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(4)</w:t>
      </w:r>
      <w:bookmarkEnd w:id="35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где Ж - значение жесткости воды, °Ж;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границы интервала, в котором погрешность определения жесткости воды находится с доверительной вероятностью Р = 0,95 (см.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таблицу 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______________________________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6" w:name="sub_1111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* В Российской Федерации - требованиям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Р 52109-2003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"Вода питьевая, расфасованная в емкости. Общие технические условия" - переоформляется в межгосударственный стандарт.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7" w:name="sub_22222"/>
      <w:r/>
      <w:bookmarkEnd w:id="36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** В Российской Федерации действует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Р 53228-2008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"Весы неавтоматического действия. Часть 1. Метрологические и технические требования. Испытания".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/>
      <w:bookmarkStart w:id="38" w:name="sub_33333"/>
      <w:r/>
      <w:bookmarkEnd w:id="37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*** Значение жесткости воды, выраженное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ммоль/дм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численно равно значению, выраженному в °Ж.</w:t>
      </w:r>
      <w:bookmarkStart w:id="39" w:name="sub_600"/>
      <w:r/>
      <w:bookmarkEnd w:id="38"/>
      <w:r>
        <w:rPr>
          <w:rFonts w:ascii="Arial" w:hAnsi="Arial" w:eastAsia="Times New Roman" w:cs="Times New Roman"/>
          <w:sz w:val="24"/>
          <w:szCs w:val="24"/>
          <w:lang w:eastAsia="ru-RU"/>
        </w:rPr>
        <w:br w:type="page" w:clear="all"/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Библиография</w:t>
      </w:r>
      <w:bookmarkEnd w:id="39"/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tbl>
      <w:tblPr>
        <w:tblW w:w="970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48"/>
        <w:gridCol w:w="2508"/>
        <w:gridCol w:w="6746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8" w:type="dxa"/>
            <w:textDirection w:val="lrTb"/>
            <w:noWrap w:val="false"/>
          </w:tcPr>
          <w:p>
            <w:pPr>
              <w:ind w:right="-8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40" w:name="sub_601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[1]</w:t>
            </w:r>
            <w:bookmarkEnd w:id="40"/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0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Международный стандарт ISO 5725-6:1994*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4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Accuracy (trueness and precision) of measurement methods and results.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Part 6. Use in practice of accuracy values (Точность (правильность и прецизионность) методов и результатов измерений. Часть 6. Использование значений точности на практике)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8" w:type="dxa"/>
            <w:textDirection w:val="lrTb"/>
            <w:noWrap w:val="false"/>
          </w:tcPr>
          <w:p>
            <w:pPr>
              <w:ind w:right="-8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41" w:name="sub_602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[2]</w:t>
            </w:r>
            <w:bookmarkEnd w:id="41"/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0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4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Руководство ЕВРОХИМ/СИТАК "Количественное описание неопределенности в аналитических измерениях". 2-е издание, 2000, пер. с англ. - СПб, ВНИИМ им. Д.И. Менделеева, 2002 г.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8" w:type="dxa"/>
            <w:textDirection w:val="lrTb"/>
            <w:noWrap w:val="false"/>
          </w:tcPr>
          <w:p>
            <w:pPr>
              <w:ind w:right="-8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42" w:name="sub_603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[3]</w:t>
            </w:r>
            <w:bookmarkEnd w:id="42"/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0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Рекомендация МИ 2881-2004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4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Государственная система обеспечения единства измерений. Методики количественного химического анализа. Процедуры проверки приемлемости результатов анализа</w:t>
            </w:r>
            <w:r/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______________________________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3" w:name="sub_11111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* В Российской Федерации действует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ГОСТ Р ИСО 5725-6-2002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"Точность (правильность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прецизионность) методов и результатов измерений. Часть 6. Использование значений точности на практике". До принятия межгосударственного стандарта используют аналогичные национальные стандарты, если они идентичны международному стандарту ISO 5725-6:1994.</w:t>
      </w:r>
      <w:bookmarkEnd w:id="43"/>
      <w:r/>
    </w:p>
    <w:p>
      <w:pPr>
        <w:pStyle w:val="628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2" w:hanging="227"/>
      </w:pPr>
      <w:rPr>
        <w:rFonts w:hint="default" w:ascii="Times New Roman" w:hAnsi="Times New Roman" w:eastAsia="Times New Roman" w:cs="Times New Roman"/>
        <w:b/>
        <w:bCs/>
        <w:spacing w:val="0"/>
        <w:sz w:val="17"/>
        <w:szCs w:val="17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71" w:hanging="22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83" w:hanging="22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95" w:hanging="22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607" w:hanging="22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419" w:hanging="22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31" w:hanging="22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043" w:hanging="22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855" w:hanging="227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720"/>
      </w:pPr>
      <w:rPr>
        <w:rFonts w:hint="default" w:ascii="Symbol" w:hAnsi="Symbol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94" w:hanging="331"/>
        <w:jc w:val="right"/>
      </w:pPr>
      <w:rPr>
        <w:rFonts w:hint="default" w:ascii="Times New Roman" w:hAnsi="Times New Roman" w:eastAsia="Times New Roman" w:cs="Times New Roman"/>
        <w:b/>
        <w:bCs/>
        <w:spacing w:val="0"/>
        <w:sz w:val="17"/>
        <w:szCs w:val="17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016" w:hanging="419"/>
      </w:pPr>
      <w:rPr>
        <w:rFonts w:hint="default" w:ascii="Times New Roman" w:hAnsi="Times New Roman" w:eastAsia="Times New Roman" w:cs="Times New Roman"/>
        <w:spacing w:val="-4"/>
        <w:sz w:val="20"/>
        <w:szCs w:val="20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4104" w:hanging="41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708" w:hanging="41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312" w:hanging="41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916" w:hanging="41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20" w:hanging="41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124" w:hanging="41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28" w:hanging="419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91" w:hanging="393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991" w:hanging="393"/>
      </w:pPr>
      <w:rPr>
        <w:rFonts w:hint="default" w:ascii="Times New Roman" w:hAnsi="Times New Roman" w:eastAsia="Times New Roman" w:cs="Times New Roman"/>
        <w:spacing w:val="-11"/>
        <w:sz w:val="20"/>
        <w:szCs w:val="20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595" w:hanging="39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93" w:hanging="39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90" w:hanging="39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988" w:hanging="39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86" w:hanging="39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583" w:hanging="39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381" w:hanging="393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36"/>
        <w:szCs w:val="36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114" w:hanging="388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14" w:hanging="388"/>
      </w:pPr>
      <w:rPr>
        <w:rFonts w:hint="default"/>
        <w:spacing w:val="-9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00" w:hanging="38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90" w:hanging="38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680" w:hanging="38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571" w:hanging="38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461" w:hanging="38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351" w:hanging="38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241" w:hanging="388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618"/>
    <w:link w:val="617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16"/>
    <w:next w:val="616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18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16"/>
    <w:next w:val="616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18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16"/>
    <w:next w:val="616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18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16"/>
    <w:next w:val="616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18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16"/>
    <w:next w:val="616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18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16"/>
    <w:next w:val="616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618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16"/>
    <w:next w:val="616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618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16"/>
    <w:next w:val="616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18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16"/>
    <w:next w:val="616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18"/>
    <w:link w:val="33"/>
    <w:uiPriority w:val="10"/>
    <w:rPr>
      <w:sz w:val="48"/>
      <w:szCs w:val="48"/>
    </w:rPr>
  </w:style>
  <w:style w:type="paragraph" w:styleId="35">
    <w:name w:val="Subtitle"/>
    <w:basedOn w:val="616"/>
    <w:next w:val="616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18"/>
    <w:link w:val="35"/>
    <w:uiPriority w:val="11"/>
    <w:rPr>
      <w:sz w:val="24"/>
      <w:szCs w:val="24"/>
    </w:rPr>
  </w:style>
  <w:style w:type="paragraph" w:styleId="37">
    <w:name w:val="Quote"/>
    <w:basedOn w:val="616"/>
    <w:next w:val="616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16"/>
    <w:next w:val="616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16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618"/>
    <w:link w:val="41"/>
    <w:uiPriority w:val="99"/>
  </w:style>
  <w:style w:type="paragraph" w:styleId="43">
    <w:name w:val="Footer"/>
    <w:basedOn w:val="616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618"/>
    <w:link w:val="43"/>
    <w:uiPriority w:val="99"/>
  </w:style>
  <w:style w:type="paragraph" w:styleId="45">
    <w:name w:val="Caption"/>
    <w:basedOn w:val="616"/>
    <w:next w:val="6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8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16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618"/>
    <w:uiPriority w:val="99"/>
    <w:unhideWhenUsed/>
    <w:rPr>
      <w:vertAlign w:val="superscript"/>
    </w:rPr>
  </w:style>
  <w:style w:type="paragraph" w:styleId="177">
    <w:name w:val="endnote text"/>
    <w:basedOn w:val="616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18"/>
    <w:uiPriority w:val="99"/>
    <w:semiHidden/>
    <w:unhideWhenUsed/>
    <w:rPr>
      <w:vertAlign w:val="superscript"/>
    </w:rPr>
  </w:style>
  <w:style w:type="paragraph" w:styleId="180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qFormat/>
  </w:style>
  <w:style w:type="paragraph" w:styleId="617">
    <w:name w:val="Heading 1"/>
    <w:basedOn w:val="616"/>
    <w:link w:val="626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22" w:customStyle="1">
    <w:name w:val="Сетка таблицы1"/>
    <w:basedOn w:val="619"/>
    <w:next w:val="62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23">
    <w:name w:val="Balloon Text"/>
    <w:basedOn w:val="616"/>
    <w:link w:val="62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24" w:customStyle="1">
    <w:name w:val="Текст выноски Знак"/>
    <w:basedOn w:val="618"/>
    <w:link w:val="623"/>
    <w:uiPriority w:val="99"/>
    <w:semiHidden/>
    <w:rPr>
      <w:rFonts w:ascii="Segoe UI" w:hAnsi="Segoe UI" w:cs="Segoe UI"/>
      <w:sz w:val="18"/>
      <w:szCs w:val="18"/>
    </w:rPr>
  </w:style>
  <w:style w:type="paragraph" w:styleId="625">
    <w:name w:val="List Paragraph"/>
    <w:basedOn w:val="616"/>
    <w:uiPriority w:val="1"/>
    <w:qFormat/>
    <w:pPr>
      <w:contextualSpacing/>
      <w:ind w:left="720"/>
    </w:pPr>
  </w:style>
  <w:style w:type="character" w:styleId="626" w:customStyle="1">
    <w:name w:val="Заголовок 1 Знак"/>
    <w:basedOn w:val="618"/>
    <w:link w:val="617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table" w:styleId="627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628">
    <w:name w:val="Body Text"/>
    <w:basedOn w:val="616"/>
    <w:link w:val="629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character" w:styleId="629" w:customStyle="1">
    <w:name w:val="Основной текст Знак"/>
    <w:basedOn w:val="618"/>
    <w:link w:val="628"/>
    <w:uiPriority w:val="1"/>
    <w:rPr>
      <w:rFonts w:ascii="Times New Roman" w:hAnsi="Times New Roman" w:eastAsia="Times New Roman" w:cs="Times New Roman"/>
      <w:sz w:val="20"/>
      <w:szCs w:val="20"/>
    </w:rPr>
  </w:style>
  <w:style w:type="paragraph" w:styleId="630" w:customStyle="1">
    <w:name w:val="Заголовок 11"/>
    <w:basedOn w:val="616"/>
    <w:uiPriority w:val="1"/>
    <w:qFormat/>
    <w:pPr>
      <w:ind w:left="1369" w:right="4"/>
      <w:jc w:val="center"/>
      <w:spacing w:after="0" w:line="264" w:lineRule="exact"/>
      <w:widowControl w:val="off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631" w:customStyle="1">
    <w:name w:val="Table Paragraph"/>
    <w:basedOn w:val="616"/>
    <w:uiPriority w:val="1"/>
    <w:qFormat/>
    <w:pPr>
      <w:spacing w:after="0" w:line="155" w:lineRule="exact"/>
      <w:widowControl w:val="off"/>
    </w:pPr>
    <w:rPr>
      <w:rFonts w:ascii="Times New Roman" w:hAnsi="Times New Roman" w:eastAsia="Times New Roman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emf"/><Relationship Id="rId11" Type="http://schemas.openxmlformats.org/officeDocument/2006/relationships/image" Target="media/image3.emf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Р7-Офис/7.2.0.134</Application>
  <Company>SPecialiST RePack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3</cp:revision>
  <dcterms:created xsi:type="dcterms:W3CDTF">2023-08-15T07:32:00Z</dcterms:created>
  <dcterms:modified xsi:type="dcterms:W3CDTF">2024-02-21T05:31:32Z</dcterms:modified>
</cp:coreProperties>
</file>